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77777777" w:rsidR="008B239F"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p>
    <w:p w14:paraId="45D98647" w14:textId="39ABBDE7" w:rsidR="001F5307" w:rsidRPr="00DE5A2E" w:rsidRDefault="00DE5A2E" w:rsidP="5101B02D">
      <w:pPr>
        <w:pStyle w:val="txg1"/>
        <w:shd w:val="clear" w:color="auto" w:fill="FFFFFF" w:themeFill="background1"/>
        <w:spacing w:before="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____</w:t>
      </w:r>
      <w:r w:rsidR="00C27CB0" w:rsidRPr="5101B02D">
        <w:rPr>
          <w:rFonts w:ascii="Arial" w:eastAsia="monserrat" w:hAnsi="Arial" w:cs="Arial"/>
          <w:color w:val="000000"/>
          <w:spacing w:val="3"/>
          <w:sz w:val="26"/>
          <w:szCs w:val="26"/>
        </w:rPr>
        <w:t>______________________________________________________</w:t>
      </w:r>
      <w:r w:rsidR="009B16F0" w:rsidRPr="5101B02D">
        <w:rPr>
          <w:rFonts w:ascii="Arial" w:eastAsia="monserrat" w:hAnsi="Arial" w:cs="Arial"/>
          <w:color w:val="000000"/>
          <w:spacing w:val="3"/>
          <w:sz w:val="26"/>
          <w:szCs w:val="26"/>
        </w:rPr>
        <w:t>_______</w:t>
      </w:r>
      <w:r w:rsidR="0FB02DCD" w:rsidRPr="5101B02D">
        <w:rPr>
          <w:rFonts w:ascii="Arial" w:eastAsia="monserrat" w:hAnsi="Arial" w:cs="Arial"/>
          <w:color w:val="000000"/>
          <w:spacing w:val="3"/>
          <w:sz w:val="26"/>
          <w:szCs w:val="26"/>
        </w:rPr>
        <w:t>_____</w:t>
      </w:r>
    </w:p>
    <w:p w14:paraId="4E08A973" w14:textId="0CA109D5" w:rsidR="00C27CB0"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5101B02D">
        <w:rPr>
          <w:rFonts w:ascii="Arial" w:eastAsia="monserrat" w:hAnsi="Arial" w:cs="Arial"/>
          <w:color w:val="000000"/>
          <w:spacing w:val="3"/>
          <w:sz w:val="26"/>
          <w:szCs w:val="26"/>
        </w:rPr>
        <w:t xml:space="preserve"> __________________________</w:t>
      </w:r>
      <w:r w:rsidR="00F32A0F" w:rsidRPr="5101B02D">
        <w:rPr>
          <w:rFonts w:ascii="Arial" w:eastAsia="monserrat" w:hAnsi="Arial" w:cs="Arial"/>
          <w:color w:val="000000"/>
          <w:spacing w:val="3"/>
          <w:sz w:val="26"/>
          <w:szCs w:val="26"/>
        </w:rPr>
        <w:t>_______________________________________</w:t>
      </w:r>
      <w:r w:rsidR="6CC96C8C" w:rsidRPr="5101B02D">
        <w:rPr>
          <w:rFonts w:ascii="Arial" w:eastAsia="monserrat" w:hAnsi="Arial" w:cs="Arial"/>
          <w:color w:val="000000"/>
          <w:spacing w:val="3"/>
          <w:sz w:val="26"/>
          <w:szCs w:val="26"/>
        </w:rPr>
        <w:t>_____</w:t>
      </w:r>
    </w:p>
    <w:p w14:paraId="45012DA8" w14:textId="300A34D0" w:rsidR="001F5307"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on the</w:t>
      </w:r>
      <w:r w:rsidR="00F32A0F" w:rsidRPr="5101B02D">
        <w:rPr>
          <w:rFonts w:ascii="Arial" w:eastAsia="monserrat" w:hAnsi="Arial" w:cs="Arial"/>
          <w:color w:val="000000"/>
          <w:spacing w:val="3"/>
          <w:sz w:val="26"/>
          <w:szCs w:val="26"/>
        </w:rPr>
        <w:t xml:space="preserve"> </w:t>
      </w:r>
      <w:r w:rsidR="00C27CB0" w:rsidRPr="5101B02D">
        <w:rPr>
          <w:rFonts w:ascii="Arial" w:eastAsia="monserrat" w:hAnsi="Arial" w:cs="Arial"/>
          <w:color w:val="000000"/>
          <w:spacing w:val="3"/>
          <w:sz w:val="26"/>
          <w:szCs w:val="26"/>
        </w:rPr>
        <w:t>________</w:t>
      </w:r>
      <w:r w:rsidR="00797036" w:rsidRPr="5101B02D">
        <w:rPr>
          <w:rFonts w:ascii="Arial" w:eastAsia="monserrat" w:hAnsi="Arial" w:cs="Arial"/>
          <w:color w:val="000000"/>
          <w:spacing w:val="3"/>
          <w:sz w:val="26"/>
          <w:szCs w:val="26"/>
        </w:rPr>
        <w:t>___</w:t>
      </w:r>
      <w:r w:rsidR="00F32A0F"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 xml:space="preserve">day of </w:t>
      </w:r>
      <w:r w:rsidR="00C27CB0" w:rsidRPr="5101B02D">
        <w:rPr>
          <w:rFonts w:ascii="Arial" w:eastAsia="monserrat" w:hAnsi="Arial" w:cs="Arial"/>
          <w:color w:val="000000"/>
          <w:spacing w:val="3"/>
          <w:sz w:val="26"/>
          <w:szCs w:val="26"/>
        </w:rPr>
        <w:t>__________________</w:t>
      </w:r>
      <w:r w:rsidR="00797036" w:rsidRPr="5101B02D">
        <w:rPr>
          <w:rFonts w:ascii="Arial" w:eastAsia="monserrat" w:hAnsi="Arial" w:cs="Arial"/>
          <w:color w:val="000000"/>
          <w:spacing w:val="3"/>
          <w:sz w:val="26"/>
          <w:szCs w:val="26"/>
        </w:rPr>
        <w:t>__</w:t>
      </w:r>
      <w:r w:rsidR="00F32A0F" w:rsidRPr="5101B02D">
        <w:rPr>
          <w:rFonts w:ascii="Arial" w:eastAsia="monserrat" w:hAnsi="Arial" w:cs="Arial"/>
          <w:color w:val="000000"/>
          <w:spacing w:val="3"/>
          <w:sz w:val="26"/>
          <w:szCs w:val="26"/>
        </w:rPr>
        <w:t>_</w:t>
      </w:r>
      <w:r w:rsidR="00797036" w:rsidRPr="5101B02D">
        <w:rPr>
          <w:rFonts w:ascii="Arial" w:eastAsia="monserrat" w:hAnsi="Arial" w:cs="Arial"/>
          <w:color w:val="000000"/>
          <w:spacing w:val="3"/>
          <w:sz w:val="26"/>
          <w:szCs w:val="26"/>
        </w:rPr>
        <w:t xml:space="preserve">_ </w:t>
      </w:r>
      <w:r w:rsidRPr="5101B02D">
        <w:rPr>
          <w:rFonts w:ascii="Arial" w:eastAsia="monserrat" w:hAnsi="Arial" w:cs="Arial"/>
          <w:color w:val="000000"/>
          <w:spacing w:val="3"/>
          <w:sz w:val="26"/>
          <w:szCs w:val="26"/>
        </w:rPr>
        <w:t>20</w:t>
      </w:r>
      <w:r w:rsidR="00C27CB0" w:rsidRPr="5101B02D">
        <w:rPr>
          <w:rFonts w:ascii="Arial" w:eastAsia="monserrat" w:hAnsi="Arial" w:cs="Arial"/>
          <w:color w:val="000000"/>
          <w:spacing w:val="3"/>
          <w:sz w:val="26"/>
          <w:szCs w:val="26"/>
        </w:rPr>
        <w:t>_____</w:t>
      </w:r>
      <w:r w:rsidR="00797036" w:rsidRPr="5101B02D">
        <w:rPr>
          <w:rFonts w:ascii="Arial" w:eastAsia="monserrat" w:hAnsi="Arial" w:cs="Arial"/>
          <w:color w:val="000000"/>
          <w:spacing w:val="3"/>
          <w:sz w:val="26"/>
          <w:szCs w:val="26"/>
        </w:rPr>
        <w:t xml:space="preserve"> </w:t>
      </w:r>
      <w:r w:rsidR="006A2D0B" w:rsidRPr="5101B02D">
        <w:rPr>
          <w:rFonts w:ascii="Arial" w:eastAsia="monserrat" w:hAnsi="Arial" w:cs="Arial"/>
          <w:color w:val="000000"/>
          <w:spacing w:val="3"/>
          <w:sz w:val="26"/>
          <w:szCs w:val="26"/>
        </w:rPr>
        <w:t>at ________</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53C26268" w:rsidR="004A4B9B" w:rsidRDefault="00876453" w:rsidP="5101B02D">
      <w:pPr>
        <w:pStyle w:val="txg"/>
        <w:shd w:val="clear" w:color="auto" w:fill="FFFFFF" w:themeFill="background1"/>
        <w:spacing w:before="240" w:beforeAutospacing="0" w:after="0" w:afterAutospacing="0"/>
        <w:rPr>
          <w:rFonts w:ascii="Arial" w:eastAsia="monserrat" w:hAnsi="Arial" w:cs="Arial"/>
          <w:color w:val="000000"/>
          <w:spacing w:val="3"/>
        </w:rPr>
      </w:pPr>
      <w:r>
        <w:rPr>
          <w:rFonts w:ascii="Arial" w:eastAsia="monserrat" w:hAnsi="Arial" w:cs="Arial"/>
          <w:color w:val="000000"/>
          <w:spacing w:val="3"/>
        </w:rPr>
        <w:t>(</w:t>
      </w:r>
      <w:r w:rsidR="001F5307"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0F0DD7" w:rsidRPr="5101B02D">
        <w:rPr>
          <w:rFonts w:ascii="Arial" w:eastAsia="monserrat" w:hAnsi="Arial" w:cs="Arial"/>
          <w:color w:val="000000"/>
          <w:spacing w:val="3"/>
        </w:rPr>
        <w:t xml:space="preserve"> </w:t>
      </w:r>
      <w:r w:rsidR="00FA4529" w:rsidRPr="5101B02D">
        <w:rPr>
          <w:rFonts w:ascii="Arial" w:eastAsia="monserrat" w:hAnsi="Arial" w:cs="Arial"/>
          <w:color w:val="000000"/>
          <w:spacing w:val="3"/>
        </w:rPr>
        <w:t xml:space="preserve"> </w:t>
      </w:r>
      <w:r w:rsidR="00C27CB0" w:rsidRPr="5101B02D">
        <w:rPr>
          <w:rFonts w:ascii="Arial" w:eastAsia="monserrat" w:hAnsi="Arial" w:cs="Arial"/>
          <w:color w:val="000000"/>
          <w:spacing w:val="3"/>
        </w:rPr>
        <w:t>_________________</w:t>
      </w:r>
      <w:r w:rsidR="00FA4529" w:rsidRPr="5101B02D">
        <w:rPr>
          <w:rFonts w:ascii="Arial" w:eastAsia="monserrat" w:hAnsi="Arial" w:cs="Arial"/>
          <w:color w:val="000000"/>
          <w:spacing w:val="3"/>
        </w:rPr>
        <w:t>_</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r>
        <w:rPr>
          <w:rFonts w:ascii="Arial" w:eastAsia="monserrat" w:hAnsi="Arial" w:cs="Arial"/>
          <w:color w:val="000000"/>
          <w:spacing w:val="3"/>
        </w:rPr>
        <w:t>)</w:t>
      </w:r>
      <w:r w:rsidR="00CC62D1" w:rsidRPr="5101B02D">
        <w:rPr>
          <w:rFonts w:ascii="Arial" w:eastAsia="monserrat" w:hAnsi="Arial" w:cs="Arial"/>
          <w:color w:val="000000"/>
          <w:spacing w:val="3"/>
          <w:vertAlign w:val="superscript"/>
        </w:rPr>
        <w:t>1</w:t>
      </w:r>
    </w:p>
    <w:p w14:paraId="00DC1B3E" w14:textId="192949AF"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C27CB0" w:rsidRPr="5101B02D">
        <w:rPr>
          <w:rFonts w:ascii="Arial" w:eastAsia="monserrat" w:hAnsi="Arial" w:cs="Arial"/>
          <w:color w:val="000000"/>
          <w:spacing w:val="3"/>
        </w:rPr>
        <w:t xml:space="preserve">__________________ </w:t>
      </w:r>
      <w:r w:rsidRPr="5101B02D">
        <w:rPr>
          <w:rFonts w:ascii="Arial" w:eastAsia="monserrat" w:hAnsi="Arial" w:cs="Arial"/>
          <w:color w:val="000000"/>
          <w:spacing w:val="3"/>
        </w:rPr>
        <w:t>representatives.</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1C20D1A0"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the numbers entered on the new Roll;</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the financial statements of the council for the year ending on the 31st December preceding the meeting;</w:t>
      </w:r>
    </w:p>
    <w:p w14:paraId="3F7F7ABD" w14:textId="511E19A1"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ED09A3D" w14:textId="77777777" w:rsidR="00876453" w:rsidRDefault="00876453"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4A9B96D3" w14:textId="77777777" w:rsidR="00876453" w:rsidRDefault="00876453"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43B9D134"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Signed: ___________________________________________________________</w:t>
      </w:r>
    </w:p>
    <w:p w14:paraId="162C7345" w14:textId="2EEE87B1"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r w:rsidR="00876453">
        <w:rPr>
          <w:rFonts w:ascii="Arial" w:eastAsia="monserrat" w:hAnsi="Arial" w:cs="Arial"/>
          <w:color w:val="000000"/>
          <w:spacing w:val="3"/>
          <w:vertAlign w:val="superscript"/>
        </w:rPr>
        <w:t>2</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2F390F81" w14:textId="2BC934F7" w:rsidR="00CC62D1" w:rsidRPr="00CC62D1" w:rsidRDefault="00CC62D1" w:rsidP="00876453">
      <w:pPr>
        <w:pStyle w:val="FootnoteText"/>
        <w:rPr>
          <w:rFonts w:ascii="Arial" w:hAnsi="Arial" w:cs="Arial"/>
        </w:rPr>
      </w:pPr>
      <w:r w:rsidRPr="00CC62D1">
        <w:rPr>
          <w:rFonts w:ascii="Arial" w:eastAsia="monserrat" w:hAnsi="Arial" w:cs="Arial"/>
          <w:color w:val="000000"/>
          <w:spacing w:val="3"/>
          <w:vertAlign w:val="superscript"/>
        </w:rPr>
        <w:t>1</w:t>
      </w:r>
      <w:r w:rsidRPr="00CC62D1">
        <w:rPr>
          <w:rFonts w:ascii="Arial" w:eastAsia="monserrat" w:hAnsi="Arial" w:cs="Arial"/>
          <w:color w:val="000000"/>
          <w:spacing w:val="3"/>
        </w:rPr>
        <w:t xml:space="preserve"> </w:t>
      </w:r>
      <w:r w:rsidR="00876453">
        <w:rPr>
          <w:rFonts w:ascii="Arial" w:eastAsia="monserrat" w:hAnsi="Arial" w:cs="Arial"/>
          <w:color w:val="000000"/>
          <w:spacing w:val="3"/>
        </w:rPr>
        <w:t>Delete if there are no casual vacancies for this triennium</w:t>
      </w:r>
    </w:p>
    <w:p w14:paraId="3B14A094" w14:textId="7B2EA5C8" w:rsidR="00CC62D1" w:rsidRPr="00CC62D1" w:rsidRDefault="00876453" w:rsidP="00CC62D1">
      <w:pPr>
        <w:pStyle w:val="tx"/>
        <w:shd w:val="clear" w:color="auto" w:fill="FFFFFF" w:themeFill="background1"/>
        <w:spacing w:before="0" w:beforeAutospacing="0" w:after="0" w:afterAutospacing="0"/>
        <w:rPr>
          <w:rFonts w:ascii="Arial" w:hAnsi="Arial" w:cs="Arial"/>
          <w:sz w:val="20"/>
          <w:szCs w:val="20"/>
        </w:rPr>
      </w:pPr>
      <w:r w:rsidRPr="00876453">
        <w:rPr>
          <w:rFonts w:ascii="Arial" w:eastAsia="monserrat" w:hAnsi="Arial" w:cs="Arial"/>
          <w:color w:val="000000"/>
          <w:spacing w:val="3"/>
          <w:sz w:val="20"/>
          <w:szCs w:val="20"/>
          <w:vertAlign w:val="superscript"/>
          <w:lang w:eastAsia="en-US"/>
        </w:rPr>
        <w:t>2</w:t>
      </w:r>
      <w:r w:rsidR="00CC62D1" w:rsidRPr="5101B02D">
        <w:rPr>
          <w:rFonts w:ascii="Arial" w:hAnsi="Arial" w:cs="Arial"/>
          <w:sz w:val="20"/>
          <w:szCs w:val="20"/>
        </w:rPr>
        <w:t xml:space="preserve"> Or vice-chair of the parochial church council as the case may be (see rule M19(2) of the Church Representation Rules).</w:t>
      </w: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42045993" w:rsidR="001F5307" w:rsidRPr="00845E59" w:rsidRDefault="00876453"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Pr>
          <w:rFonts w:ascii="Arial" w:eastAsia="monserrat" w:hAnsi="Arial" w:cs="Arial"/>
          <w:color w:val="000000"/>
          <w:spacing w:val="3"/>
          <w:vertAlign w:val="superscript"/>
        </w:rPr>
        <w:t>3</w:t>
      </w:r>
      <w:r w:rsidR="00CC62D1">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8C7BD5C" w:rsidR="00CC62D1" w:rsidRDefault="00876453" w:rsidP="00CC62D1">
      <w:pPr>
        <w:pStyle w:val="FootnoteText"/>
      </w:pPr>
      <w:r>
        <w:rPr>
          <w:rFonts w:ascii="Arial" w:hAnsi="Arial" w:cs="Arial"/>
          <w:vertAlign w:val="superscript"/>
        </w:rPr>
        <w:t>3</w:t>
      </w:r>
      <w:r w:rsidR="00CC62D1">
        <w:rPr>
          <w:rFonts w:ascii="Arial" w:hAnsi="Arial" w:cs="Arial"/>
        </w:rPr>
        <w:t xml:space="preserve"> </w:t>
      </w:r>
      <w:r w:rsidR="00CC62D1"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1D104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236DF" w14:textId="77777777" w:rsidR="001D1041" w:rsidRDefault="001D1041" w:rsidP="00695981">
      <w:pPr>
        <w:spacing w:after="0" w:line="240" w:lineRule="auto"/>
      </w:pPr>
      <w:r>
        <w:separator/>
      </w:r>
    </w:p>
  </w:endnote>
  <w:endnote w:type="continuationSeparator" w:id="0">
    <w:p w14:paraId="5D3A98E1" w14:textId="77777777" w:rsidR="001D1041" w:rsidRDefault="001D1041"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DB0D" w14:textId="77777777" w:rsidR="001D1041" w:rsidRDefault="001D1041" w:rsidP="00695981">
      <w:pPr>
        <w:spacing w:after="0" w:line="240" w:lineRule="auto"/>
      </w:pPr>
      <w:r>
        <w:separator/>
      </w:r>
    </w:p>
  </w:footnote>
  <w:footnote w:type="continuationSeparator" w:id="0">
    <w:p w14:paraId="1CB2BFA6" w14:textId="77777777" w:rsidR="001D1041" w:rsidRDefault="001D1041"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inline distT="45720" distB="45720" distL="114300" distR="114300" wp14:anchorId="6E8CEB81" wp14:editId="3F994B66">
                    <wp:extent cx="762635" cy="273685"/>
                    <wp:effectExtent l="0" t="0" r="18415" b="12065"/>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inline>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width:60.0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anchorlock/>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E5501"/>
    <w:rsid w:val="000F0DD7"/>
    <w:rsid w:val="0018254E"/>
    <w:rsid w:val="001D1041"/>
    <w:rsid w:val="001D1B19"/>
    <w:rsid w:val="001F5307"/>
    <w:rsid w:val="0024084B"/>
    <w:rsid w:val="00247EBF"/>
    <w:rsid w:val="002C0F59"/>
    <w:rsid w:val="00341F62"/>
    <w:rsid w:val="00343ADF"/>
    <w:rsid w:val="00352B5B"/>
    <w:rsid w:val="003764D6"/>
    <w:rsid w:val="00391BD9"/>
    <w:rsid w:val="004039CA"/>
    <w:rsid w:val="00416481"/>
    <w:rsid w:val="00456359"/>
    <w:rsid w:val="00460521"/>
    <w:rsid w:val="004A1AD0"/>
    <w:rsid w:val="004A4B9B"/>
    <w:rsid w:val="004E5C7F"/>
    <w:rsid w:val="005042C7"/>
    <w:rsid w:val="00562B8A"/>
    <w:rsid w:val="005A250B"/>
    <w:rsid w:val="00695981"/>
    <w:rsid w:val="006A2D0B"/>
    <w:rsid w:val="00720FCB"/>
    <w:rsid w:val="0075316F"/>
    <w:rsid w:val="007573F3"/>
    <w:rsid w:val="00763688"/>
    <w:rsid w:val="007712EC"/>
    <w:rsid w:val="0077157A"/>
    <w:rsid w:val="00795498"/>
    <w:rsid w:val="00797036"/>
    <w:rsid w:val="007A6AE6"/>
    <w:rsid w:val="007B4E50"/>
    <w:rsid w:val="007B6823"/>
    <w:rsid w:val="007F5150"/>
    <w:rsid w:val="00826AD3"/>
    <w:rsid w:val="00845E59"/>
    <w:rsid w:val="0086014B"/>
    <w:rsid w:val="00876453"/>
    <w:rsid w:val="008B239F"/>
    <w:rsid w:val="008C257B"/>
    <w:rsid w:val="0092101C"/>
    <w:rsid w:val="00981D65"/>
    <w:rsid w:val="009850A6"/>
    <w:rsid w:val="009B16F0"/>
    <w:rsid w:val="009E00C5"/>
    <w:rsid w:val="00AA0B8F"/>
    <w:rsid w:val="00AA5190"/>
    <w:rsid w:val="00B545D0"/>
    <w:rsid w:val="00B72F85"/>
    <w:rsid w:val="00B879A8"/>
    <w:rsid w:val="00BB2F49"/>
    <w:rsid w:val="00BE0117"/>
    <w:rsid w:val="00BE4AF3"/>
    <w:rsid w:val="00C27CB0"/>
    <w:rsid w:val="00C65414"/>
    <w:rsid w:val="00CA2C04"/>
    <w:rsid w:val="00CC62D1"/>
    <w:rsid w:val="00D10B29"/>
    <w:rsid w:val="00D371F9"/>
    <w:rsid w:val="00D425A2"/>
    <w:rsid w:val="00DA7F82"/>
    <w:rsid w:val="00DE5A2E"/>
    <w:rsid w:val="00E06432"/>
    <w:rsid w:val="00E17E5D"/>
    <w:rsid w:val="00E40493"/>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15:docId w15:val="{C63FF6E2-C3EE-4909-96D1-10072CD8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e93975fe-0ba4-41fe-b3b7-4a2655e4b3d6"/>
    <ds:schemaRef ds:uri="f3a3f4af-9df9-4e1d-8c69-a33c6e733a58"/>
    <ds:schemaRef ds:uri="http://schemas.microsoft.com/sharepoint/v3"/>
  </ds:schemaRefs>
</ds:datastoreItem>
</file>

<file path=customXml/itemProps2.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3.xml><?xml version="1.0" encoding="utf-8"?>
<ds:datastoreItem xmlns:ds="http://schemas.openxmlformats.org/officeDocument/2006/customXml" ds:itemID="{8C2B7136-4796-4709-AC98-E0C2B06F0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Ruth Carl</cp:lastModifiedBy>
  <cp:revision>2</cp:revision>
  <dcterms:created xsi:type="dcterms:W3CDTF">2024-03-26T11:04:00Z</dcterms:created>
  <dcterms:modified xsi:type="dcterms:W3CDTF">2024-12-03T21:01:00Z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0x010100B4BEA6FC040AA64D96058331D30DB51F</vt:lpwstr>
  </property>
</Properties>
</file>